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35D73" w14:textId="77777777" w:rsidR="008A5156" w:rsidRPr="008A5156" w:rsidRDefault="008A5156" w:rsidP="008A5156">
      <w:pPr>
        <w:shd w:val="clear" w:color="auto" w:fill="FFFFFF"/>
        <w:spacing w:after="0" w:line="540" w:lineRule="atLeast"/>
        <w:jc w:val="center"/>
        <w:textAlignment w:val="baseline"/>
        <w:outlineLvl w:val="0"/>
        <w:rPr>
          <w:rFonts w:ascii="Times New Roman" w:eastAsia="Times New Roman" w:hAnsi="Times New Roman" w:cs="Times New Roman"/>
          <w:b/>
          <w:bCs/>
          <w:color w:val="222222"/>
          <w:kern w:val="36"/>
          <w:sz w:val="28"/>
          <w:szCs w:val="28"/>
          <w:lang w:val="pt-BR"/>
          <w14:ligatures w14:val="none"/>
        </w:rPr>
      </w:pPr>
      <w:r w:rsidRPr="008A5156">
        <w:rPr>
          <w:rFonts w:ascii="Times New Roman" w:eastAsia="Times New Roman" w:hAnsi="Times New Roman" w:cs="Times New Roman"/>
          <w:b/>
          <w:bCs/>
          <w:color w:val="222222"/>
          <w:kern w:val="36"/>
          <w:sz w:val="28"/>
          <w:szCs w:val="28"/>
          <w:lang w:val="pt-BR"/>
          <w14:ligatures w14:val="none"/>
        </w:rPr>
        <w:t>Conditii de acordare a tichetelor de gradinita</w:t>
      </w:r>
    </w:p>
    <w:p w14:paraId="3866F983" w14:textId="77777777" w:rsidR="00AC5BD5" w:rsidRPr="008A5156" w:rsidRDefault="00AC5BD5" w:rsidP="008A5156">
      <w:pPr>
        <w:jc w:val="both"/>
        <w:rPr>
          <w:rFonts w:ascii="Times New Roman" w:hAnsi="Times New Roman" w:cs="Times New Roman"/>
          <w:lang w:val="pt-BR"/>
        </w:rPr>
      </w:pPr>
    </w:p>
    <w:p w14:paraId="3E267431" w14:textId="77777777" w:rsidR="008A5156" w:rsidRPr="008A5156" w:rsidRDefault="008A5156" w:rsidP="008A5156">
      <w:pPr>
        <w:jc w:val="center"/>
        <w:rPr>
          <w:rFonts w:ascii="Times New Roman" w:hAnsi="Times New Roman" w:cs="Times New Roman"/>
          <w:lang w:val="pt-BR"/>
        </w:rPr>
      </w:pPr>
      <w:r w:rsidRPr="008A5156">
        <w:rPr>
          <w:rFonts w:ascii="Times New Roman" w:hAnsi="Times New Roman" w:cs="Times New Roman"/>
          <w:b/>
          <w:bCs/>
          <w:lang w:val="pt-BR"/>
        </w:rPr>
        <w:t>INFORMARE</w:t>
      </w:r>
    </w:p>
    <w:p w14:paraId="64444408" w14:textId="77777777" w:rsidR="008A5156" w:rsidRPr="008A5156" w:rsidRDefault="008A5156" w:rsidP="008A5156">
      <w:pPr>
        <w:jc w:val="center"/>
        <w:rPr>
          <w:rFonts w:ascii="Times New Roman" w:hAnsi="Times New Roman" w:cs="Times New Roman"/>
          <w:lang w:val="pt-BR"/>
        </w:rPr>
      </w:pPr>
      <w:r w:rsidRPr="008A5156">
        <w:rPr>
          <w:rFonts w:ascii="Times New Roman" w:hAnsi="Times New Roman" w:cs="Times New Roman"/>
          <w:b/>
          <w:bCs/>
          <w:lang w:val="pt-BR"/>
        </w:rPr>
        <w:t>privind acordarea  stimulentului  educațional ( tichete grădiniță)</w:t>
      </w:r>
    </w:p>
    <w:p w14:paraId="06058297" w14:textId="77777777" w:rsidR="008A5156" w:rsidRDefault="008A5156" w:rsidP="008A5156">
      <w:pPr>
        <w:jc w:val="both"/>
        <w:rPr>
          <w:rFonts w:ascii="Times New Roman" w:hAnsi="Times New Roman" w:cs="Times New Roman"/>
          <w:b/>
          <w:bCs/>
          <w:lang w:val="pt-BR"/>
        </w:rPr>
      </w:pPr>
      <w:r w:rsidRPr="008A5156">
        <w:rPr>
          <w:rFonts w:ascii="Times New Roman" w:hAnsi="Times New Roman" w:cs="Times New Roman"/>
          <w:b/>
          <w:bCs/>
          <w:lang w:val="pt-BR"/>
        </w:rPr>
        <w:t>   </w:t>
      </w:r>
    </w:p>
    <w:p w14:paraId="29F2C4A5" w14:textId="1C6F7CA7" w:rsidR="008A5156" w:rsidRDefault="008A5156" w:rsidP="008A5156">
      <w:pPr>
        <w:jc w:val="center"/>
        <w:rPr>
          <w:rFonts w:ascii="Times New Roman" w:hAnsi="Times New Roman" w:cs="Times New Roman"/>
          <w:b/>
          <w:bCs/>
          <w:lang w:val="pt-BR"/>
        </w:rPr>
      </w:pPr>
      <w:r w:rsidRPr="008A5156">
        <w:rPr>
          <w:rFonts w:ascii="Times New Roman" w:hAnsi="Times New Roman" w:cs="Times New Roman"/>
          <w:b/>
          <w:bCs/>
          <w:lang w:val="pt-BR"/>
        </w:rPr>
        <w:t>CONDIȚII  DE  ACORDARE</w:t>
      </w:r>
    </w:p>
    <w:p w14:paraId="3701706B" w14:textId="77777777" w:rsidR="008A5156" w:rsidRPr="008A5156" w:rsidRDefault="008A5156" w:rsidP="008A5156">
      <w:pPr>
        <w:jc w:val="center"/>
        <w:rPr>
          <w:rFonts w:ascii="Times New Roman" w:hAnsi="Times New Roman" w:cs="Times New Roman"/>
          <w:lang w:val="pt-BR"/>
        </w:rPr>
      </w:pPr>
    </w:p>
    <w:p w14:paraId="616EAA55" w14:textId="77777777" w:rsidR="008A5156" w:rsidRPr="008A5156" w:rsidRDefault="008A5156" w:rsidP="008A5156">
      <w:pPr>
        <w:ind w:firstLine="720"/>
        <w:jc w:val="both"/>
        <w:rPr>
          <w:rFonts w:ascii="Times New Roman" w:hAnsi="Times New Roman" w:cs="Times New Roman"/>
          <w:lang w:val="pt-BR"/>
        </w:rPr>
      </w:pPr>
      <w:r w:rsidRPr="008A5156">
        <w:rPr>
          <w:rFonts w:ascii="Times New Roman" w:hAnsi="Times New Roman" w:cs="Times New Roman"/>
          <w:lang w:val="pt-BR"/>
        </w:rPr>
        <w:t>Stimulentul educațional se acordă în baza Legii nr.248/2015 privind stimularea participării în învățământul preșcolar a copiilor provenind din familiile defavorizate, cu modificările și completările ulterioare și H.G. nr.15/2016 pentru aprobarea Normelor Metodologice de aplicare a prevederilor Legii nr. 248/2015 privind stimularea participării în învățământul preșcolar a copiilor provenind din familiile defavorizate, cu modificările și completările ulterioare.</w:t>
      </w:r>
    </w:p>
    <w:p w14:paraId="6D896827" w14:textId="77777777" w:rsidR="008A5156" w:rsidRPr="008A5156" w:rsidRDefault="008A5156" w:rsidP="008A5156">
      <w:pPr>
        <w:ind w:firstLine="720"/>
        <w:jc w:val="both"/>
        <w:rPr>
          <w:rFonts w:ascii="Times New Roman" w:hAnsi="Times New Roman" w:cs="Times New Roman"/>
          <w:lang w:val="pt-BR"/>
        </w:rPr>
      </w:pPr>
      <w:r w:rsidRPr="008A5156">
        <w:rPr>
          <w:rFonts w:ascii="Times New Roman" w:hAnsi="Times New Roman" w:cs="Times New Roman"/>
          <w:lang w:val="pt-BR"/>
        </w:rPr>
        <w:t>Începând cu data de 1 ianuarie 2024 acesta este acordat familiilor beneficiare de venit minim de incluziune care include componenta ajutor pentru familia cu copii, cuantumul acestuia, criteriile și procedura de acordare și de decontare, precum și majorarea valorii acestuia fiind reglementate prin raportare la Legea nr.196/2016 privind venitul minim de incluziune și prin normele metodologice de aplicare a acestei legi, care se aplică în mod corespunzător. Prin excepție, stimulentul educațional se acordă și copiilor aflați în îngrijirea persoanei care a fost desemnată de părinte pentru întreținerea copilului, pe perioada absenței părinților, conform art.104 din Legea nr.272/2004 privind protecția și promovarea drepturilor copilului, republicată, cu modificările ulterioare, dacă veniturile pe persoană, inclusiv copilul aflat în îngrijire, nu depășesc nivelul maxim de venituri pentru acordarea ajutorului pentru familia cu copii.</w:t>
      </w:r>
    </w:p>
    <w:p w14:paraId="4B6D81E0" w14:textId="57B0FA2C" w:rsidR="008A5156" w:rsidRPr="008A5156" w:rsidRDefault="008A5156" w:rsidP="008A5156">
      <w:pPr>
        <w:ind w:firstLine="720"/>
        <w:jc w:val="both"/>
        <w:rPr>
          <w:rFonts w:ascii="Times New Roman" w:hAnsi="Times New Roman" w:cs="Times New Roman"/>
          <w:lang w:val="pt-BR"/>
        </w:rPr>
      </w:pPr>
      <w:r w:rsidRPr="008A5156">
        <w:rPr>
          <w:rFonts w:ascii="Times New Roman" w:hAnsi="Times New Roman" w:cs="Times New Roman"/>
          <w:lang w:val="pt-BR"/>
        </w:rPr>
        <w:t>Începând cu data de 01.01.2024 stimulentul educațional este acordat familiilor beneficiare de venit minim de incluziune care include componenta ajutor pentru familia cu copii, iar cuantumul acestuia se stabilește în funcție de nivelul venitului net lunar ajustat și numărul de copii din familie, în conformitate cu prevederile art.18 raportat la art.8 si art. 9 din Legea nr.196/2016 privind venitul minim de incluziune. Tichetele pot fi folosite doar pentru achiziționarea produselor necesare preșcolarilor: produse alimentare, de igienă, îmbrăcăminte, încălțăminte, rechizite și articole școlare. Valoarea nominală lunară minimă a stimulentului educaţional se raportează la indicatorul social de referinţă şi este de  0,2 ISR, exprimat în lei, pentru fiecare copil înscris la grădiniţă, beneficiar al stimulentului educaţional.</w:t>
      </w:r>
    </w:p>
    <w:p w14:paraId="431C42D2" w14:textId="55B2E203" w:rsidR="008A5156" w:rsidRPr="008A5156" w:rsidRDefault="008A5156" w:rsidP="008A5156">
      <w:pPr>
        <w:ind w:firstLine="360"/>
        <w:jc w:val="both"/>
        <w:rPr>
          <w:rFonts w:ascii="Times New Roman" w:hAnsi="Times New Roman" w:cs="Times New Roman"/>
          <w:i/>
          <w:iCs/>
          <w:lang w:val="pt-BR"/>
        </w:rPr>
      </w:pPr>
      <w:r w:rsidRPr="008A5156">
        <w:rPr>
          <w:rFonts w:ascii="Times New Roman" w:hAnsi="Times New Roman" w:cs="Times New Roman"/>
          <w:i/>
          <w:iCs/>
          <w:lang w:val="pt-BR"/>
        </w:rPr>
        <w:t>Stimulentul educațional se acordă numai pentru copiii înscriși într-o unitate de învățământ preșcolar, conform Legii educației naționale nr. 1/2011, cu modificările și completările ulterioare.</w:t>
      </w:r>
      <w:r>
        <w:rPr>
          <w:rFonts w:ascii="Times New Roman" w:hAnsi="Times New Roman" w:cs="Times New Roman"/>
          <w:i/>
          <w:iCs/>
          <w:lang w:val="pt-BR"/>
        </w:rPr>
        <w:t xml:space="preserve"> </w:t>
      </w:r>
      <w:r w:rsidRPr="008A5156">
        <w:rPr>
          <w:rFonts w:ascii="Times New Roman" w:hAnsi="Times New Roman" w:cs="Times New Roman"/>
          <w:i/>
          <w:iCs/>
          <w:lang w:val="pt-BR"/>
        </w:rPr>
        <w:t>Stimulentul educațional se acordă:</w:t>
      </w:r>
    </w:p>
    <w:p w14:paraId="2E3C40F7" w14:textId="4A957264" w:rsidR="008A5156" w:rsidRPr="008A5156" w:rsidRDefault="008A5156" w:rsidP="008A5156">
      <w:pPr>
        <w:jc w:val="both"/>
        <w:rPr>
          <w:rFonts w:ascii="Times New Roman" w:hAnsi="Times New Roman" w:cs="Times New Roman"/>
          <w:lang w:val="pt-BR"/>
        </w:rPr>
      </w:pPr>
      <w:r>
        <w:rPr>
          <w:rFonts w:ascii="Times New Roman" w:hAnsi="Times New Roman" w:cs="Times New Roman"/>
          <w:lang w:val="pt-BR"/>
        </w:rPr>
        <w:lastRenderedPageBreak/>
        <w:t>-</w:t>
      </w:r>
      <w:r w:rsidRPr="008A5156">
        <w:rPr>
          <w:rFonts w:ascii="Times New Roman" w:hAnsi="Times New Roman" w:cs="Times New Roman"/>
          <w:lang w:val="pt-BR"/>
        </w:rPr>
        <w:t>din oficiu pentru situația prevăzută la art.2 alin. (1), după caz, odată cu stabilirea dreptului de venit minim de incluziune care include componenta ajutor pentru familia cu copiii sau după acordarea acestuia, persoanei care este și titularul dreptului;</w:t>
      </w:r>
    </w:p>
    <w:p w14:paraId="589512EE" w14:textId="62525658" w:rsidR="008A5156" w:rsidRPr="009D4D59" w:rsidRDefault="008A5156" w:rsidP="008A5156">
      <w:pPr>
        <w:jc w:val="both"/>
        <w:rPr>
          <w:rFonts w:ascii="Times New Roman" w:hAnsi="Times New Roman" w:cs="Times New Roman"/>
          <w:lang w:val="pt-BR"/>
        </w:rPr>
      </w:pPr>
      <w:r w:rsidRPr="009D4D59">
        <w:rPr>
          <w:rFonts w:ascii="Times New Roman" w:hAnsi="Times New Roman" w:cs="Times New Roman"/>
          <w:lang w:val="pt-BR"/>
        </w:rPr>
        <w:t>-pe bază de cerere, pentru situația prevăzută la art.2 alin.(2).</w:t>
      </w:r>
    </w:p>
    <w:p w14:paraId="6A040E13" w14:textId="77777777" w:rsidR="008A5156" w:rsidRPr="009D4D59" w:rsidRDefault="008A5156" w:rsidP="008A5156">
      <w:pPr>
        <w:ind w:firstLine="720"/>
        <w:jc w:val="both"/>
        <w:rPr>
          <w:rFonts w:ascii="Times New Roman" w:hAnsi="Times New Roman" w:cs="Times New Roman"/>
          <w:lang w:val="pt-BR"/>
        </w:rPr>
      </w:pPr>
      <w:r w:rsidRPr="009D4D59">
        <w:rPr>
          <w:rFonts w:ascii="Times New Roman" w:hAnsi="Times New Roman" w:cs="Times New Roman"/>
          <w:lang w:val="pt-BR"/>
        </w:rPr>
        <w:t>Acordarea stimulentelor educaționale este condiţionată de frecvența regulată la grădiniţă a copiilor din familiile beneficiare ale stimulentului educaţional prevăzut de prezenta lege. În sensul prezentei legi, prin frecvenţă regulată se înţelege prezenţa zilnică a copilului la grădiniţă în luna monitorizată, cu excepţia absenţelor motivate. Se consideră absenţe motivate, ce nu afectează acordarea tichetelor sociale, următoarele cazuri, cu condiţia ca acestea să nu depăşească 50% din zilele de grădiniţă:</w:t>
      </w:r>
    </w:p>
    <w:p w14:paraId="389CD209" w14:textId="0BC75D04" w:rsidR="008A5156" w:rsidRPr="009D4D59" w:rsidRDefault="008A5156" w:rsidP="008A5156">
      <w:pPr>
        <w:jc w:val="both"/>
        <w:rPr>
          <w:rFonts w:ascii="Times New Roman" w:hAnsi="Times New Roman" w:cs="Times New Roman"/>
          <w:lang w:val="pt-BR"/>
        </w:rPr>
      </w:pPr>
      <w:r w:rsidRPr="009D4D59">
        <w:rPr>
          <w:rFonts w:ascii="Times New Roman" w:hAnsi="Times New Roman" w:cs="Times New Roman"/>
          <w:lang w:val="pt-BR"/>
        </w:rPr>
        <w:t>–absenţe medicale: motivate, numai dacă părinţii aduc scutiri medicale corespunzătoare perioadelor în care au lipsit copiii, la revenirea acestora la grădiniţă. În caz excepţional, o singură dată pe an şcolar, copiii pot beneficia de tichete sociale şi dacă în luna monitorizată au lipsit mai mult de 50% din zilele de grădiniţă, din motive medicale;</w:t>
      </w:r>
    </w:p>
    <w:p w14:paraId="733262A8" w14:textId="7A481D45" w:rsidR="008A5156" w:rsidRPr="009D4D59" w:rsidRDefault="008A5156" w:rsidP="008A5156">
      <w:pPr>
        <w:jc w:val="both"/>
        <w:rPr>
          <w:rFonts w:ascii="Times New Roman" w:hAnsi="Times New Roman" w:cs="Times New Roman"/>
          <w:lang w:val="pt-BR"/>
        </w:rPr>
      </w:pPr>
      <w:r w:rsidRPr="009D4D59">
        <w:rPr>
          <w:rFonts w:ascii="Times New Roman" w:hAnsi="Times New Roman" w:cs="Times New Roman"/>
          <w:lang w:val="pt-BR"/>
        </w:rPr>
        <w:t>–  învoiri: copiii pot fi învoiţi de către părinţi în limita a 3 zile pe lună, cu condiţia anunţării cadrelor didactice.</w:t>
      </w:r>
    </w:p>
    <w:p w14:paraId="6EFFBA7E" w14:textId="77777777" w:rsidR="008A5156" w:rsidRPr="009D4D59" w:rsidRDefault="008A5156" w:rsidP="008A5156">
      <w:pPr>
        <w:ind w:firstLine="720"/>
        <w:jc w:val="both"/>
        <w:rPr>
          <w:rFonts w:ascii="Times New Roman" w:hAnsi="Times New Roman" w:cs="Times New Roman"/>
          <w:lang w:val="pt-BR"/>
        </w:rPr>
      </w:pPr>
      <w:r w:rsidRPr="009D4D59">
        <w:rPr>
          <w:rFonts w:ascii="Times New Roman" w:hAnsi="Times New Roman" w:cs="Times New Roman"/>
          <w:lang w:val="pt-BR"/>
        </w:rPr>
        <w:t>Stimulentul se acordă lunar, pe perioada participării copilului la activităţile organizate în cadrul unităţilor din învăţământul preşcolar, în perioada septembrie – iunie.</w:t>
      </w:r>
    </w:p>
    <w:p w14:paraId="63A27087" w14:textId="5BC2A2C6" w:rsidR="008A5156" w:rsidRPr="009D4D59" w:rsidRDefault="008A5156" w:rsidP="008A5156">
      <w:pPr>
        <w:ind w:firstLine="720"/>
        <w:jc w:val="both"/>
        <w:rPr>
          <w:rFonts w:ascii="Times New Roman" w:hAnsi="Times New Roman" w:cs="Times New Roman"/>
          <w:i/>
          <w:iCs/>
          <w:lang w:val="pt-BR"/>
        </w:rPr>
      </w:pPr>
      <w:r w:rsidRPr="009D4D59">
        <w:rPr>
          <w:rFonts w:ascii="Times New Roman" w:hAnsi="Times New Roman" w:cs="Times New Roman"/>
          <w:i/>
          <w:iCs/>
          <w:lang w:val="pt-BR"/>
        </w:rPr>
        <w:t>Titularul tichetului social pentru grădiniţă are obligaţia să anunţe la Primăria Ciomăgești-Compartimentul Asistență Socială, orice modificare în componenţa familiei sau în veniturile acesteia în termen de maximum 15 zile de la producerea acesteia.</w:t>
      </w:r>
    </w:p>
    <w:p w14:paraId="4B2C2A0A" w14:textId="77777777" w:rsidR="00A02F2B" w:rsidRPr="009D4D59" w:rsidRDefault="00A02F2B" w:rsidP="008A5156">
      <w:pPr>
        <w:ind w:firstLine="720"/>
        <w:jc w:val="both"/>
        <w:rPr>
          <w:rFonts w:ascii="Times New Roman" w:hAnsi="Times New Roman" w:cs="Times New Roman"/>
          <w:lang w:val="pt-BR"/>
        </w:rPr>
      </w:pPr>
    </w:p>
    <w:p w14:paraId="69C3D584" w14:textId="77777777" w:rsidR="008A5156" w:rsidRPr="009D4D59" w:rsidRDefault="008A5156" w:rsidP="008A5156">
      <w:pPr>
        <w:jc w:val="both"/>
        <w:rPr>
          <w:rFonts w:ascii="Times New Roman" w:hAnsi="Times New Roman" w:cs="Times New Roman"/>
          <w:lang w:val="pt-BR"/>
        </w:rPr>
      </w:pPr>
      <w:r w:rsidRPr="009D4D59">
        <w:rPr>
          <w:rFonts w:ascii="Times New Roman" w:hAnsi="Times New Roman" w:cs="Times New Roman"/>
          <w:b/>
          <w:bCs/>
          <w:lang w:val="pt-BR"/>
        </w:rPr>
        <w:t>ACTE  NECESARE  PENTRU STIMULENT EDUCAȚIONAL</w:t>
      </w:r>
    </w:p>
    <w:p w14:paraId="18E30711" w14:textId="30534A31" w:rsidR="008A5156" w:rsidRPr="009D4D59" w:rsidRDefault="00A02F2B" w:rsidP="00A02F2B">
      <w:pPr>
        <w:ind w:firstLine="360"/>
        <w:jc w:val="both"/>
        <w:rPr>
          <w:rFonts w:ascii="Times New Roman" w:hAnsi="Times New Roman" w:cs="Times New Roman"/>
          <w:lang w:val="pt-BR"/>
        </w:rPr>
      </w:pPr>
      <w:r w:rsidRPr="009D4D59">
        <w:rPr>
          <w:rFonts w:ascii="Times New Roman" w:hAnsi="Times New Roman" w:cs="Times New Roman"/>
          <w:lang w:val="pt-BR"/>
        </w:rPr>
        <w:t xml:space="preserve">       </w:t>
      </w:r>
      <w:r w:rsidR="008A5156" w:rsidRPr="009D4D59">
        <w:rPr>
          <w:rFonts w:ascii="Times New Roman" w:hAnsi="Times New Roman" w:cs="Times New Roman"/>
          <w:lang w:val="pt-BR"/>
        </w:rPr>
        <w:t>Pentru situația prevăzută la art. 2 alin. (1) din Legea nr.248/2015 privind stimularea participării în învățământul preșcolar a copiilor provenind din familiile defavorizate, cu modificările și completările ulterioare:</w:t>
      </w:r>
    </w:p>
    <w:p w14:paraId="5892D00C" w14:textId="305F9AE0"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lang w:val="pt-BR"/>
        </w:rPr>
        <w:t>-</w:t>
      </w:r>
      <w:r w:rsidR="008A5156" w:rsidRPr="009D4D59">
        <w:rPr>
          <w:rFonts w:ascii="Times New Roman" w:hAnsi="Times New Roman" w:cs="Times New Roman"/>
          <w:lang w:val="pt-BR"/>
        </w:rPr>
        <w:t>adeverintă eliberată de grădinița la care este înscris copilul, din care să rezulte că frecventează grădinița.</w:t>
      </w:r>
    </w:p>
    <w:p w14:paraId="13443108" w14:textId="77777777" w:rsidR="008A5156" w:rsidRPr="009D4D59" w:rsidRDefault="008A5156" w:rsidP="008A5156">
      <w:pPr>
        <w:jc w:val="both"/>
        <w:rPr>
          <w:rFonts w:ascii="Times New Roman" w:hAnsi="Times New Roman" w:cs="Times New Roman"/>
          <w:lang w:val="pt-BR"/>
        </w:rPr>
      </w:pPr>
      <w:r w:rsidRPr="009D4D59">
        <w:rPr>
          <w:rFonts w:ascii="Times New Roman" w:hAnsi="Times New Roman" w:cs="Times New Roman"/>
          <w:lang w:val="pt-BR"/>
        </w:rPr>
        <w:t>Pentru situația prevăzută la art. 2 alin. (2) din Legea nr.248/2015 privind stimularea participării în învățământul preșcolar a copiilor provenind din familiile defavorizate, cu modificările și completările ulterioare:</w:t>
      </w:r>
    </w:p>
    <w:p w14:paraId="3A19BD20" w14:textId="25849FE9" w:rsidR="008A5156" w:rsidRPr="009D4D59" w:rsidRDefault="009D4D59" w:rsidP="00A02F2B">
      <w:pPr>
        <w:jc w:val="both"/>
        <w:rPr>
          <w:rFonts w:ascii="Times New Roman" w:hAnsi="Times New Roman" w:cs="Times New Roman"/>
          <w:lang w:val="pt-BR"/>
        </w:rPr>
      </w:pPr>
      <w:r w:rsidRPr="009D4D59">
        <w:rPr>
          <w:rFonts w:ascii="Times New Roman" w:hAnsi="Times New Roman" w:cs="Times New Roman"/>
          <w:lang w:val="pt-BR"/>
        </w:rPr>
        <w:t>-cerere</w:t>
      </w:r>
    </w:p>
    <w:p w14:paraId="08793777" w14:textId="4FDBAF19"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lang w:val="pt-BR"/>
        </w:rPr>
        <w:t>-</w:t>
      </w:r>
      <w:r w:rsidR="008A5156" w:rsidRPr="009D4D59">
        <w:rPr>
          <w:rFonts w:ascii="Times New Roman" w:hAnsi="Times New Roman" w:cs="Times New Roman"/>
          <w:lang w:val="pt-BR"/>
        </w:rPr>
        <w:t>carte de identitate, carte de identitate provizorie, a tuturor membrilor familiei, care au implinit 14 ani;</w:t>
      </w:r>
    </w:p>
    <w:p w14:paraId="2D51849B" w14:textId="39D93417"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lang w:val="pt-BR"/>
        </w:rPr>
        <w:lastRenderedPageBreak/>
        <w:t>-</w:t>
      </w:r>
      <w:r w:rsidR="008A5156" w:rsidRPr="009D4D59">
        <w:rPr>
          <w:rFonts w:ascii="Times New Roman" w:hAnsi="Times New Roman" w:cs="Times New Roman"/>
          <w:lang w:val="pt-BR"/>
        </w:rPr>
        <w:t>certificate de naștere copii;</w:t>
      </w:r>
    </w:p>
    <w:p w14:paraId="2B5906E0" w14:textId="5CB0204F"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lang w:val="pt-BR"/>
        </w:rPr>
        <w:t>-</w:t>
      </w:r>
      <w:r w:rsidR="008A5156" w:rsidRPr="009D4D59">
        <w:rPr>
          <w:rFonts w:ascii="Times New Roman" w:hAnsi="Times New Roman" w:cs="Times New Roman"/>
          <w:lang w:val="pt-BR"/>
        </w:rPr>
        <w:t>certificat/certificatele de căsătorie;</w:t>
      </w:r>
    </w:p>
    <w:p w14:paraId="11698DAE" w14:textId="6BD45B40"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b/>
          <w:bCs/>
          <w:lang w:val="pt-BR"/>
        </w:rPr>
        <w:t>-</w:t>
      </w:r>
      <w:r w:rsidR="008A5156" w:rsidRPr="009D4D59">
        <w:rPr>
          <w:rFonts w:ascii="Times New Roman" w:hAnsi="Times New Roman" w:cs="Times New Roman"/>
          <w:b/>
          <w:bCs/>
          <w:lang w:val="pt-BR"/>
        </w:rPr>
        <w:t>hotărâre/delegare de tutelă temporară</w:t>
      </w:r>
      <w:r w:rsidR="008A5156" w:rsidRPr="009D4D59">
        <w:rPr>
          <w:rFonts w:ascii="Times New Roman" w:hAnsi="Times New Roman" w:cs="Times New Roman"/>
          <w:lang w:val="pt-BR"/>
        </w:rPr>
        <w:t>;</w:t>
      </w:r>
    </w:p>
    <w:p w14:paraId="196CF892" w14:textId="4CBD9D50"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b/>
          <w:bCs/>
          <w:lang w:val="pt-BR"/>
        </w:rPr>
        <w:t>-</w:t>
      </w:r>
      <w:r w:rsidR="008A5156" w:rsidRPr="009D4D59">
        <w:rPr>
          <w:rFonts w:ascii="Times New Roman" w:hAnsi="Times New Roman" w:cs="Times New Roman"/>
          <w:b/>
          <w:bCs/>
          <w:lang w:val="pt-BR"/>
        </w:rPr>
        <w:t>adeverintă eliberată de grădinița la care este înscris copilul, din care să rezulte că frecventează grădinița</w:t>
      </w:r>
      <w:r w:rsidR="008A5156" w:rsidRPr="009D4D59">
        <w:rPr>
          <w:rFonts w:ascii="Times New Roman" w:hAnsi="Times New Roman" w:cs="Times New Roman"/>
          <w:lang w:val="pt-BR"/>
        </w:rPr>
        <w:t>;</w:t>
      </w:r>
    </w:p>
    <w:p w14:paraId="0488C0E6" w14:textId="2148D1AB"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lang w:val="pt-BR"/>
        </w:rPr>
        <w:t>-</w:t>
      </w:r>
      <w:r w:rsidR="008A5156" w:rsidRPr="009D4D59">
        <w:rPr>
          <w:rFonts w:ascii="Times New Roman" w:hAnsi="Times New Roman" w:cs="Times New Roman"/>
          <w:lang w:val="pt-BR"/>
        </w:rPr>
        <w:t>adeverință eliberată de angajator în care să se specifice venitul net realizat în luna anterioară depunerii cererii, pentru toti membrii familiei care sunt salariați, cu mențiunea dacă primesc sau nu bonuri valorice;</w:t>
      </w:r>
    </w:p>
    <w:p w14:paraId="0D5CF274" w14:textId="01A04B2A"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lang w:val="pt-BR"/>
        </w:rPr>
        <w:t>-</w:t>
      </w:r>
      <w:r w:rsidR="008A5156" w:rsidRPr="009D4D59">
        <w:rPr>
          <w:rFonts w:ascii="Times New Roman" w:hAnsi="Times New Roman" w:cs="Times New Roman"/>
          <w:lang w:val="pt-BR"/>
        </w:rPr>
        <w:t>cupon de pensie;</w:t>
      </w:r>
    </w:p>
    <w:p w14:paraId="41CDF6C6" w14:textId="7D704D04"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lang w:val="pt-BR"/>
        </w:rPr>
        <w:t>-</w:t>
      </w:r>
      <w:r w:rsidR="008A5156" w:rsidRPr="009D4D59">
        <w:rPr>
          <w:rFonts w:ascii="Times New Roman" w:hAnsi="Times New Roman" w:cs="Times New Roman"/>
          <w:lang w:val="pt-BR"/>
        </w:rPr>
        <w:t>cupon somaj;</w:t>
      </w:r>
    </w:p>
    <w:p w14:paraId="1580F155" w14:textId="58478C96" w:rsidR="008A5156" w:rsidRPr="009D4D59" w:rsidRDefault="00A02F2B" w:rsidP="00A02F2B">
      <w:pPr>
        <w:jc w:val="both"/>
        <w:rPr>
          <w:rFonts w:ascii="Times New Roman" w:hAnsi="Times New Roman" w:cs="Times New Roman"/>
          <w:lang w:val="pt-BR"/>
        </w:rPr>
      </w:pPr>
      <w:r w:rsidRPr="009D4D59">
        <w:rPr>
          <w:rFonts w:ascii="Times New Roman" w:hAnsi="Times New Roman" w:cs="Times New Roman"/>
          <w:lang w:val="pt-BR"/>
        </w:rPr>
        <w:t>-</w:t>
      </w:r>
      <w:r w:rsidR="008A5156" w:rsidRPr="009D4D59">
        <w:rPr>
          <w:rFonts w:ascii="Times New Roman" w:hAnsi="Times New Roman" w:cs="Times New Roman"/>
          <w:lang w:val="pt-BR"/>
        </w:rPr>
        <w:t>adeverinţă doveditoare a faptului că solicitantul sau membrii familiei realizează/nu realizează venituri impozabile, eliberată de către Direcţia Generală a Finanţelor Publice Argeş, pentru toate persoanele care au împlinit vârsta de 16 ani (chiar daca sunt salariati, pensionari sau au indemnizații sociale);</w:t>
      </w:r>
    </w:p>
    <w:p w14:paraId="0EB716D5" w14:textId="15F41B4A" w:rsidR="008A5156" w:rsidRDefault="00A02F2B" w:rsidP="00A02F2B">
      <w:pPr>
        <w:jc w:val="both"/>
        <w:rPr>
          <w:rFonts w:ascii="Times New Roman" w:hAnsi="Times New Roman" w:cs="Times New Roman"/>
          <w:lang w:val="it-IT"/>
        </w:rPr>
      </w:pPr>
      <w:r w:rsidRPr="00A02F2B">
        <w:rPr>
          <w:rFonts w:ascii="Times New Roman" w:hAnsi="Times New Roman" w:cs="Times New Roman"/>
          <w:lang w:val="it-IT"/>
        </w:rPr>
        <w:t>-</w:t>
      </w:r>
      <w:r w:rsidR="008A5156" w:rsidRPr="008A5156">
        <w:rPr>
          <w:rFonts w:ascii="Times New Roman" w:hAnsi="Times New Roman" w:cs="Times New Roman"/>
          <w:lang w:val="it-IT"/>
        </w:rPr>
        <w:t>certificat de rol fiscal pentru imobile(case și terenuri), autovehicule, eliberat de Prim</w:t>
      </w:r>
      <w:r>
        <w:rPr>
          <w:rFonts w:ascii="Times New Roman" w:hAnsi="Times New Roman" w:cs="Times New Roman"/>
          <w:lang w:val="it-IT"/>
        </w:rPr>
        <w:t>ă</w:t>
      </w:r>
      <w:r w:rsidR="008A5156" w:rsidRPr="008A5156">
        <w:rPr>
          <w:rFonts w:ascii="Times New Roman" w:hAnsi="Times New Roman" w:cs="Times New Roman"/>
          <w:lang w:val="it-IT"/>
        </w:rPr>
        <w:t xml:space="preserve">ria </w:t>
      </w:r>
      <w:r>
        <w:rPr>
          <w:rFonts w:ascii="Times New Roman" w:hAnsi="Times New Roman" w:cs="Times New Roman"/>
          <w:lang w:val="it-IT"/>
        </w:rPr>
        <w:t>Ciomăgești</w:t>
      </w:r>
      <w:r w:rsidR="008A5156" w:rsidRPr="008A5156">
        <w:rPr>
          <w:rFonts w:ascii="Times New Roman" w:hAnsi="Times New Roman" w:cs="Times New Roman"/>
          <w:lang w:val="it-IT"/>
        </w:rPr>
        <w:t xml:space="preserve"> pentru fiecare membru al familiei;</w:t>
      </w:r>
    </w:p>
    <w:p w14:paraId="24164E69" w14:textId="5B0BCE65" w:rsidR="00A02F2B" w:rsidRPr="008A5156" w:rsidRDefault="00A02F2B" w:rsidP="00A02F2B">
      <w:pPr>
        <w:jc w:val="both"/>
        <w:rPr>
          <w:rFonts w:ascii="Times New Roman" w:hAnsi="Times New Roman" w:cs="Times New Roman"/>
          <w:lang w:val="ro-RO"/>
        </w:rPr>
      </w:pPr>
      <w:r w:rsidRPr="00A02F2B">
        <w:rPr>
          <w:rFonts w:ascii="Times New Roman" w:hAnsi="Times New Roman" w:cs="Times New Roman"/>
          <w:lang w:val="pt-BR"/>
        </w:rPr>
        <w:t>-adeverință de rol eliberată d</w:t>
      </w:r>
      <w:r>
        <w:rPr>
          <w:rFonts w:ascii="Times New Roman" w:hAnsi="Times New Roman" w:cs="Times New Roman"/>
          <w:lang w:val="pt-BR"/>
        </w:rPr>
        <w:t>e Primăria Ciomăgești</w:t>
      </w:r>
      <w:r w:rsidRPr="00A02F2B">
        <w:rPr>
          <w:rFonts w:ascii="Times New Roman" w:hAnsi="Times New Roman" w:cs="Times New Roman"/>
          <w:lang w:val="pt-BR"/>
        </w:rPr>
        <w:t>;</w:t>
      </w:r>
    </w:p>
    <w:p w14:paraId="20F3B1C3" w14:textId="6EF9EF9A" w:rsidR="008A5156" w:rsidRPr="008A5156" w:rsidRDefault="00A02F2B" w:rsidP="00A02F2B">
      <w:pPr>
        <w:jc w:val="both"/>
        <w:rPr>
          <w:rFonts w:ascii="Times New Roman" w:hAnsi="Times New Roman" w:cs="Times New Roman"/>
          <w:lang w:val="it-IT"/>
        </w:rPr>
      </w:pPr>
      <w:r w:rsidRPr="00A02F2B">
        <w:rPr>
          <w:rFonts w:ascii="Times New Roman" w:hAnsi="Times New Roman" w:cs="Times New Roman"/>
          <w:lang w:val="it-IT"/>
        </w:rPr>
        <w:t>-</w:t>
      </w:r>
      <w:r w:rsidR="008A5156" w:rsidRPr="008A5156">
        <w:rPr>
          <w:rFonts w:ascii="Times New Roman" w:hAnsi="Times New Roman" w:cs="Times New Roman"/>
          <w:lang w:val="it-IT"/>
        </w:rPr>
        <w:t>talon maşină(dacă este cazul);</w:t>
      </w:r>
    </w:p>
    <w:p w14:paraId="7F3C5021" w14:textId="77777777" w:rsidR="008A5156" w:rsidRPr="008A5156" w:rsidRDefault="008A5156" w:rsidP="008A5156">
      <w:pPr>
        <w:jc w:val="both"/>
        <w:rPr>
          <w:rFonts w:ascii="Times New Roman" w:hAnsi="Times New Roman" w:cs="Times New Roman"/>
          <w:lang w:val="pt-BR"/>
        </w:rPr>
      </w:pPr>
    </w:p>
    <w:sectPr w:rsidR="008A5156" w:rsidRPr="008A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920DA"/>
    <w:multiLevelType w:val="multilevel"/>
    <w:tmpl w:val="A18E30A4"/>
    <w:lvl w:ilvl="0">
      <w:start w:val="1"/>
      <w:numFmt w:val="bullet"/>
      <w:lvlText w:val=""/>
      <w:lvlJc w:val="left"/>
      <w:pPr>
        <w:tabs>
          <w:tab w:val="num" w:pos="720"/>
        </w:tabs>
        <w:ind w:left="720" w:hanging="360"/>
      </w:pPr>
      <w:rPr>
        <w:rFonts w:ascii="Wingdings" w:hAnsi="Wingdings" w:hint="default"/>
        <w:sz w:val="20"/>
        <w:lang w:val="it-IT"/>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A6F73"/>
    <w:multiLevelType w:val="multilevel"/>
    <w:tmpl w:val="C9FA09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C8542C"/>
    <w:multiLevelType w:val="multilevel"/>
    <w:tmpl w:val="E4DEAC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5602711">
    <w:abstractNumId w:val="2"/>
  </w:num>
  <w:num w:numId="2" w16cid:durableId="233660773">
    <w:abstractNumId w:val="1"/>
  </w:num>
  <w:num w:numId="3" w16cid:durableId="9517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3F"/>
    <w:rsid w:val="0010103F"/>
    <w:rsid w:val="002C238D"/>
    <w:rsid w:val="003F536A"/>
    <w:rsid w:val="004A088C"/>
    <w:rsid w:val="008A5156"/>
    <w:rsid w:val="009D4D59"/>
    <w:rsid w:val="00A02F2B"/>
    <w:rsid w:val="00AC5BD5"/>
    <w:rsid w:val="00B13399"/>
    <w:rsid w:val="00BE5889"/>
    <w:rsid w:val="00C237D8"/>
    <w:rsid w:val="00CC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E1BF"/>
  <w15:chartTrackingRefBased/>
  <w15:docId w15:val="{6FB41861-E5FA-46C3-9F06-B6E6C805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10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10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10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10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10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1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0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10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10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10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10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1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03F"/>
    <w:rPr>
      <w:rFonts w:eastAsiaTheme="majorEastAsia" w:cstheme="majorBidi"/>
      <w:color w:val="272727" w:themeColor="text1" w:themeTint="D8"/>
    </w:rPr>
  </w:style>
  <w:style w:type="paragraph" w:styleId="Title">
    <w:name w:val="Title"/>
    <w:basedOn w:val="Normal"/>
    <w:next w:val="Normal"/>
    <w:link w:val="TitleChar"/>
    <w:uiPriority w:val="10"/>
    <w:qFormat/>
    <w:rsid w:val="00101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03F"/>
    <w:pPr>
      <w:spacing w:before="160"/>
      <w:jc w:val="center"/>
    </w:pPr>
    <w:rPr>
      <w:i/>
      <w:iCs/>
      <w:color w:val="404040" w:themeColor="text1" w:themeTint="BF"/>
    </w:rPr>
  </w:style>
  <w:style w:type="character" w:customStyle="1" w:styleId="QuoteChar">
    <w:name w:val="Quote Char"/>
    <w:basedOn w:val="DefaultParagraphFont"/>
    <w:link w:val="Quote"/>
    <w:uiPriority w:val="29"/>
    <w:rsid w:val="0010103F"/>
    <w:rPr>
      <w:i/>
      <w:iCs/>
      <w:color w:val="404040" w:themeColor="text1" w:themeTint="BF"/>
    </w:rPr>
  </w:style>
  <w:style w:type="paragraph" w:styleId="ListParagraph">
    <w:name w:val="List Paragraph"/>
    <w:basedOn w:val="Normal"/>
    <w:uiPriority w:val="34"/>
    <w:qFormat/>
    <w:rsid w:val="0010103F"/>
    <w:pPr>
      <w:ind w:left="720"/>
      <w:contextualSpacing/>
    </w:pPr>
  </w:style>
  <w:style w:type="character" w:styleId="IntenseEmphasis">
    <w:name w:val="Intense Emphasis"/>
    <w:basedOn w:val="DefaultParagraphFont"/>
    <w:uiPriority w:val="21"/>
    <w:qFormat/>
    <w:rsid w:val="0010103F"/>
    <w:rPr>
      <w:i/>
      <w:iCs/>
      <w:color w:val="2F5496" w:themeColor="accent1" w:themeShade="BF"/>
    </w:rPr>
  </w:style>
  <w:style w:type="paragraph" w:styleId="IntenseQuote">
    <w:name w:val="Intense Quote"/>
    <w:basedOn w:val="Normal"/>
    <w:next w:val="Normal"/>
    <w:link w:val="IntenseQuoteChar"/>
    <w:uiPriority w:val="30"/>
    <w:qFormat/>
    <w:rsid w:val="001010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103F"/>
    <w:rPr>
      <w:i/>
      <w:iCs/>
      <w:color w:val="2F5496" w:themeColor="accent1" w:themeShade="BF"/>
    </w:rPr>
  </w:style>
  <w:style w:type="character" w:styleId="IntenseReference">
    <w:name w:val="Intense Reference"/>
    <w:basedOn w:val="DefaultParagraphFont"/>
    <w:uiPriority w:val="32"/>
    <w:qFormat/>
    <w:rsid w:val="0010103F"/>
    <w:rPr>
      <w:b/>
      <w:bCs/>
      <w:smallCaps/>
      <w:color w:val="2F5496" w:themeColor="accent1" w:themeShade="BF"/>
      <w:spacing w:val="5"/>
    </w:rPr>
  </w:style>
  <w:style w:type="character" w:styleId="Hyperlink">
    <w:name w:val="Hyperlink"/>
    <w:basedOn w:val="DefaultParagraphFont"/>
    <w:uiPriority w:val="99"/>
    <w:unhideWhenUsed/>
    <w:rsid w:val="008A5156"/>
    <w:rPr>
      <w:color w:val="0563C1" w:themeColor="hyperlink"/>
      <w:u w:val="single"/>
    </w:rPr>
  </w:style>
  <w:style w:type="character" w:styleId="UnresolvedMention">
    <w:name w:val="Unresolved Mention"/>
    <w:basedOn w:val="DefaultParagraphFont"/>
    <w:uiPriority w:val="99"/>
    <w:semiHidden/>
    <w:unhideWhenUsed/>
    <w:rsid w:val="008A5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ASISTENTA SOCIALA</dc:creator>
  <cp:keywords/>
  <dc:description/>
  <cp:lastModifiedBy>ASISTENTA SOCIALA</cp:lastModifiedBy>
  <cp:revision>2</cp:revision>
  <dcterms:created xsi:type="dcterms:W3CDTF">2026-05-28T08:38:00Z</dcterms:created>
  <dcterms:modified xsi:type="dcterms:W3CDTF">2026-05-28T08:38:00Z</dcterms:modified>
</cp:coreProperties>
</file>